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A0" w:rsidRDefault="00104BA0" w:rsidP="00104B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6"/>
          <w:bdr w:val="none" w:sz="0" w:space="0" w:color="auto" w:frame="1"/>
          <w:lang w:eastAsia="ru-RU"/>
        </w:rPr>
      </w:pPr>
      <w:r w:rsidRPr="00104BA0">
        <w:rPr>
          <w:rFonts w:ascii="Times New Roman" w:eastAsia="Times New Roman" w:hAnsi="Times New Roman" w:cs="Times New Roman"/>
          <w:bCs/>
          <w:sz w:val="28"/>
          <w:szCs w:val="36"/>
          <w:bdr w:val="none" w:sz="0" w:space="0" w:color="auto" w:frame="1"/>
          <w:lang w:eastAsia="ru-RU"/>
        </w:rPr>
        <w:t>Типовой договор</w:t>
      </w:r>
      <w:r>
        <w:rPr>
          <w:rFonts w:ascii="Times New Roman" w:eastAsia="Times New Roman" w:hAnsi="Times New Roman" w:cs="Times New Roman"/>
          <w:bCs/>
          <w:sz w:val="28"/>
          <w:szCs w:val="36"/>
          <w:bdr w:val="none" w:sz="0" w:space="0" w:color="auto" w:frame="1"/>
          <w:lang w:eastAsia="ru-RU"/>
        </w:rPr>
        <w:t xml:space="preserve"> оферты (добавляется на сайт)</w:t>
      </w:r>
    </w:p>
    <w:p w:rsidR="00104BA0" w:rsidRDefault="00104BA0" w:rsidP="00104B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bdr w:val="none" w:sz="0" w:space="0" w:color="auto" w:frame="1"/>
          <w:lang w:eastAsia="ru-RU"/>
        </w:rPr>
        <w:t>Утверждено</w:t>
      </w:r>
    </w:p>
    <w:p w:rsidR="00104BA0" w:rsidRDefault="00104BA0" w:rsidP="00104B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bdr w:val="none" w:sz="0" w:space="0" w:color="auto" w:frame="1"/>
          <w:lang w:eastAsia="ru-RU"/>
        </w:rPr>
        <w:t>_______________ А.А. Симаков</w:t>
      </w:r>
    </w:p>
    <w:p w:rsidR="00104BA0" w:rsidRDefault="00104BA0" w:rsidP="00104B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bdr w:val="none" w:sz="0" w:space="0" w:color="auto" w:frame="1"/>
          <w:lang w:eastAsia="ru-RU"/>
        </w:rPr>
        <w:t>"___" __________ 2020 г.</w:t>
      </w:r>
    </w:p>
    <w:p w:rsidR="00104BA0" w:rsidRPr="00104BA0" w:rsidRDefault="00104BA0" w:rsidP="00104B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6"/>
          <w:bdr w:val="none" w:sz="0" w:space="0" w:color="auto" w:frame="1"/>
          <w:lang w:eastAsia="ru-RU"/>
        </w:rPr>
      </w:pPr>
    </w:p>
    <w:p w:rsidR="00104BA0" w:rsidRDefault="00104BA0" w:rsidP="001B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66"/>
          <w:sz w:val="36"/>
          <w:szCs w:val="36"/>
          <w:bdr w:val="none" w:sz="0" w:space="0" w:color="auto" w:frame="1"/>
          <w:lang w:eastAsia="ru-RU"/>
        </w:rPr>
      </w:pPr>
    </w:p>
    <w:p w:rsidR="001B146B" w:rsidRDefault="001B146B" w:rsidP="001B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66"/>
          <w:sz w:val="36"/>
          <w:szCs w:val="36"/>
          <w:bdr w:val="none" w:sz="0" w:space="0" w:color="auto" w:frame="1"/>
          <w:lang w:eastAsia="ru-RU"/>
        </w:rPr>
      </w:pPr>
      <w:r w:rsidRPr="001B146B">
        <w:rPr>
          <w:rFonts w:ascii="Times New Roman" w:eastAsia="Times New Roman" w:hAnsi="Times New Roman" w:cs="Times New Roman"/>
          <w:b/>
          <w:bCs/>
          <w:color w:val="FF6666"/>
          <w:sz w:val="36"/>
          <w:szCs w:val="36"/>
          <w:bdr w:val="none" w:sz="0" w:space="0" w:color="auto" w:frame="1"/>
          <w:lang w:eastAsia="ru-RU"/>
        </w:rPr>
        <w:t xml:space="preserve">Условия </w:t>
      </w:r>
      <w:r w:rsidR="0077345D">
        <w:rPr>
          <w:rFonts w:ascii="Times New Roman" w:eastAsia="Times New Roman" w:hAnsi="Times New Roman" w:cs="Times New Roman"/>
          <w:b/>
          <w:bCs/>
          <w:color w:val="FF6666"/>
          <w:sz w:val="36"/>
          <w:szCs w:val="36"/>
          <w:bdr w:val="none" w:sz="0" w:space="0" w:color="auto" w:frame="1"/>
          <w:lang w:eastAsia="ru-RU"/>
        </w:rPr>
        <w:t xml:space="preserve">платного </w:t>
      </w:r>
      <w:r w:rsidRPr="001B146B">
        <w:rPr>
          <w:rFonts w:ascii="Times New Roman" w:eastAsia="Times New Roman" w:hAnsi="Times New Roman" w:cs="Times New Roman"/>
          <w:b/>
          <w:bCs/>
          <w:color w:val="FF6666"/>
          <w:sz w:val="36"/>
          <w:szCs w:val="36"/>
          <w:bdr w:val="none" w:sz="0" w:space="0" w:color="auto" w:frame="1"/>
          <w:lang w:eastAsia="ru-RU"/>
        </w:rPr>
        <w:t>бронирования</w:t>
      </w:r>
    </w:p>
    <w:p w:rsidR="001B146B" w:rsidRDefault="001B146B" w:rsidP="001B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bdr w:val="none" w:sz="0" w:space="0" w:color="auto" w:frame="1"/>
          <w:lang w:eastAsia="ru-RU"/>
        </w:rPr>
      </w:pPr>
      <w:r w:rsidRPr="001B146B"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bdr w:val="none" w:sz="0" w:space="0" w:color="auto" w:frame="1"/>
          <w:lang w:eastAsia="ru-RU"/>
        </w:rPr>
        <w:t>земельных участков</w:t>
      </w:r>
    </w:p>
    <w:p w:rsidR="001B146B" w:rsidRPr="001B146B" w:rsidRDefault="001B146B" w:rsidP="001B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67E4A" w:rsidRDefault="001B146B" w:rsidP="00C67E4A">
      <w:pPr>
        <w:spacing w:after="0" w:line="240" w:lineRule="auto"/>
        <w:ind w:firstLine="708"/>
        <w:jc w:val="both"/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</w:pPr>
      <w:r w:rsidRPr="001B146B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Настоящие условия являются офертой, которая адресована физическим и/или юридическим лицам и является публичным предложением </w:t>
      </w:r>
      <w:r w:rsidR="00C67E4A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Общества с ограниченной ответственностью «Богатырь»</w:t>
      </w:r>
      <w:r w:rsidRPr="001B146B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заключить договор бронирования земельного участка в соответствии с п. 2 ст. 437 ГК РФ. </w:t>
      </w:r>
    </w:p>
    <w:p w:rsidR="001B146B" w:rsidRDefault="001B146B" w:rsidP="00C67E4A">
      <w:pPr>
        <w:spacing w:after="0" w:line="240" w:lineRule="auto"/>
        <w:ind w:firstLine="708"/>
        <w:jc w:val="both"/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</w:pPr>
      <w:r w:rsidRPr="001B146B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Договор бронирования земельного участка считается заключенным и приобретает силу с момента совершения физическим лицом</w:t>
      </w:r>
      <w:r w:rsidR="00C67E4A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и/или юридическим лицом</w:t>
      </w:r>
      <w:r w:rsidRPr="001B146B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действий, предусмотренных офертой, и означающих безоговорочное принятие физическим лицом</w:t>
      </w:r>
      <w:r w:rsidR="00C67E4A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и/или юридическим</w:t>
      </w:r>
      <w:r w:rsidRPr="001B146B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всех условий оферты без каких-либо изъятий или ограничений, на условиях присоединения.</w:t>
      </w:r>
    </w:p>
    <w:p w:rsidR="001B146B" w:rsidRDefault="001B146B" w:rsidP="001B146B">
      <w:pPr>
        <w:spacing w:after="0" w:line="360" w:lineRule="atLeast"/>
        <w:jc w:val="both"/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</w:pPr>
    </w:p>
    <w:p w:rsidR="00C67E4A" w:rsidRDefault="001B146B" w:rsidP="00C67E4A">
      <w:pPr>
        <w:spacing w:after="0" w:line="360" w:lineRule="atLeast"/>
        <w:jc w:val="center"/>
        <w:rPr>
          <w:rFonts w:ascii="GothamPro" w:eastAsia="Times New Roman" w:hAnsi="GothamPro" w:cs="Times New Roman"/>
          <w:b/>
          <w:bCs/>
          <w:color w:val="000000"/>
          <w:sz w:val="24"/>
          <w:szCs w:val="24"/>
          <w:lang w:eastAsia="ru-RU"/>
        </w:rPr>
      </w:pPr>
      <w:r w:rsidRPr="001B146B">
        <w:rPr>
          <w:rFonts w:ascii="GothamPro" w:eastAsia="Times New Roman" w:hAnsi="GothamPro" w:cs="Times New Roman"/>
          <w:b/>
          <w:bCs/>
          <w:color w:val="000000"/>
          <w:sz w:val="24"/>
          <w:szCs w:val="24"/>
          <w:lang w:eastAsia="ru-RU"/>
        </w:rPr>
        <w:t>1. Термины и определения</w:t>
      </w:r>
    </w:p>
    <w:p w:rsidR="00C67E4A" w:rsidRPr="00362F6E" w:rsidRDefault="00C67E4A" w:rsidP="00275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4A">
        <w:rPr>
          <w:rFonts w:ascii="GothamPro" w:eastAsia="Times New Roman" w:hAnsi="GothamPro" w:cs="Times New Roman"/>
          <w:b/>
          <w:color w:val="000000"/>
          <w:sz w:val="24"/>
          <w:szCs w:val="24"/>
          <w:lang w:eastAsia="ru-RU"/>
        </w:rPr>
        <w:t>Общество</w:t>
      </w:r>
      <w:r w:rsidR="001B146B" w:rsidRPr="001B146B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«Богатырь», ИНН </w:t>
      </w:r>
      <w:r w:rsidR="00362F6E" w:rsidRPr="00362F6E">
        <w:rPr>
          <w:rStyle w:val="copytarget"/>
          <w:rFonts w:ascii="Times New Roman" w:hAnsi="Times New Roman" w:cs="Times New Roman"/>
          <w:sz w:val="24"/>
          <w:szCs w:val="24"/>
        </w:rPr>
        <w:t>1655417140</w:t>
      </w:r>
      <w:r w:rsidR="001B146B" w:rsidRPr="001B1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</w:t>
      </w:r>
      <w:r w:rsidR="00362F6E" w:rsidRPr="00362F6E">
        <w:rPr>
          <w:rFonts w:ascii="Times New Roman" w:hAnsi="Times New Roman" w:cs="Times New Roman"/>
          <w:sz w:val="24"/>
          <w:szCs w:val="24"/>
          <w:shd w:val="clear" w:color="auto" w:fill="F1F2F3"/>
        </w:rPr>
        <w:t>1191690035503</w:t>
      </w:r>
    </w:p>
    <w:p w:rsidR="00C67E4A" w:rsidRDefault="001B146B" w:rsidP="00275D37">
      <w:pPr>
        <w:spacing w:after="0" w:line="240" w:lineRule="auto"/>
        <w:ind w:firstLine="708"/>
        <w:jc w:val="both"/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</w:pPr>
      <w:r w:rsidRPr="001B146B">
        <w:rPr>
          <w:rFonts w:ascii="GothamPro" w:eastAsia="Times New Roman" w:hAnsi="GothamPro" w:cs="Times New Roman"/>
          <w:b/>
          <w:color w:val="000000"/>
          <w:sz w:val="24"/>
          <w:szCs w:val="24"/>
          <w:lang w:eastAsia="ru-RU"/>
        </w:rPr>
        <w:t>Клиент</w:t>
      </w:r>
      <w:r w:rsidRPr="001B146B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– лицо, заключившее с </w:t>
      </w:r>
      <w:r w:rsidR="00C67E4A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Обществом</w:t>
      </w:r>
      <w:r w:rsidRPr="001B146B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настоящий договор. </w:t>
      </w:r>
    </w:p>
    <w:p w:rsidR="00C67E4A" w:rsidRPr="00362F6E" w:rsidRDefault="001B146B" w:rsidP="00275D37">
      <w:pPr>
        <w:spacing w:after="0" w:line="240" w:lineRule="auto"/>
        <w:ind w:firstLine="708"/>
        <w:jc w:val="both"/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</w:pPr>
      <w:r w:rsidRPr="001B146B">
        <w:rPr>
          <w:rFonts w:ascii="GothamPro" w:eastAsia="Times New Roman" w:hAnsi="GothamPro" w:cs="Times New Roman"/>
          <w:b/>
          <w:color w:val="000000"/>
          <w:sz w:val="24"/>
          <w:szCs w:val="24"/>
          <w:lang w:eastAsia="ru-RU"/>
        </w:rPr>
        <w:t>Земельный участок</w:t>
      </w:r>
      <w:r w:rsidRPr="001B146B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– земельный участок в одном из поселков, выбранный Клиентом в сети Интернет на сайте </w:t>
      </w:r>
      <w:hyperlink r:id="rId5" w:history="1">
        <w:r w:rsidR="00362F6E" w:rsidRPr="000F1B9C">
          <w:rPr>
            <w:rStyle w:val="a4"/>
            <w:rFonts w:ascii="GothamPro" w:eastAsia="Times New Roman" w:hAnsi="GothamPro" w:cs="Times New Roman"/>
            <w:sz w:val="24"/>
            <w:szCs w:val="24"/>
            <w:lang w:eastAsia="ru-RU"/>
          </w:rPr>
          <w:t>https://ibogatyr.ru</w:t>
        </w:r>
      </w:hyperlink>
      <w:r w:rsidR="00973ABF">
        <w:t xml:space="preserve"> </w:t>
      </w:r>
      <w:hyperlink r:id="rId6" w:history="1"/>
      <w:r w:rsidRPr="001B146B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в соответствии с представленными на указанными сайте планами поселков и нумер</w:t>
      </w:r>
      <w:r w:rsidR="00362F6E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ацией земельных участков на них.</w:t>
      </w:r>
    </w:p>
    <w:p w:rsidR="00C67E4A" w:rsidRDefault="001B146B" w:rsidP="00275D37">
      <w:pPr>
        <w:spacing w:after="0" w:line="240" w:lineRule="auto"/>
        <w:ind w:firstLine="708"/>
        <w:jc w:val="both"/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</w:pPr>
      <w:r w:rsidRPr="001B146B">
        <w:rPr>
          <w:rFonts w:ascii="GothamPro" w:eastAsia="Times New Roman" w:hAnsi="GothamPro" w:cs="Times New Roman"/>
          <w:b/>
          <w:color w:val="000000"/>
          <w:sz w:val="24"/>
          <w:szCs w:val="24"/>
          <w:lang w:eastAsia="ru-RU"/>
        </w:rPr>
        <w:t>Договор</w:t>
      </w:r>
      <w:r w:rsidRPr="001B146B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– договор о бронировании земельного участка, заключаемый на условиях, изложенных в настоящей оферте. </w:t>
      </w:r>
    </w:p>
    <w:p w:rsidR="001B146B" w:rsidRDefault="001B146B" w:rsidP="00275D37">
      <w:pPr>
        <w:spacing w:after="0" w:line="240" w:lineRule="auto"/>
        <w:ind w:firstLine="708"/>
        <w:jc w:val="both"/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</w:pPr>
      <w:r w:rsidRPr="001B146B">
        <w:rPr>
          <w:rFonts w:ascii="GothamPro" w:eastAsia="Times New Roman" w:hAnsi="GothamPro" w:cs="Times New Roman"/>
          <w:b/>
          <w:color w:val="000000"/>
          <w:sz w:val="24"/>
          <w:szCs w:val="24"/>
          <w:lang w:eastAsia="ru-RU"/>
        </w:rPr>
        <w:t>Правообладатель</w:t>
      </w:r>
      <w:r w:rsidRPr="001B146B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– собственник</w:t>
      </w:r>
      <w:r w:rsidR="00362F6E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или арендатор</w:t>
      </w:r>
      <w:r w:rsidRPr="001B146B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Земельного участка либо земельного участка, из которого будет в последующем образован Земельный участок.</w:t>
      </w:r>
    </w:p>
    <w:p w:rsidR="001B146B" w:rsidRDefault="001B146B" w:rsidP="001B146B">
      <w:pPr>
        <w:spacing w:after="0" w:line="360" w:lineRule="atLeast"/>
        <w:jc w:val="both"/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</w:pPr>
    </w:p>
    <w:p w:rsidR="001B146B" w:rsidRDefault="001B146B" w:rsidP="00362F6E">
      <w:pPr>
        <w:spacing w:after="0" w:line="360" w:lineRule="atLeast"/>
        <w:jc w:val="center"/>
        <w:rPr>
          <w:rFonts w:ascii="GothamPro" w:eastAsia="Times New Roman" w:hAnsi="GothamPro" w:cs="Times New Roman"/>
          <w:b/>
          <w:bCs/>
          <w:color w:val="000000"/>
          <w:sz w:val="24"/>
          <w:szCs w:val="24"/>
          <w:lang w:eastAsia="ru-RU"/>
        </w:rPr>
      </w:pPr>
      <w:r w:rsidRPr="001B146B">
        <w:rPr>
          <w:rFonts w:ascii="GothamPro" w:eastAsia="Times New Roman" w:hAnsi="GothamPro" w:cs="Times New Roman"/>
          <w:b/>
          <w:bCs/>
          <w:color w:val="000000"/>
          <w:sz w:val="24"/>
          <w:szCs w:val="24"/>
          <w:lang w:eastAsia="ru-RU"/>
        </w:rPr>
        <w:t>2. Предмет договора</w:t>
      </w:r>
    </w:p>
    <w:p w:rsidR="00362F6E" w:rsidRPr="00275D37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B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2.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62F6E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услугу по бронированию выбранного Клиентом Земельного участка. </w:t>
      </w:r>
    </w:p>
    <w:p w:rsidR="001B146B" w:rsidRPr="00275D37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 бронирует Земельный участок с целью дальнейшего заключения </w:t>
      </w:r>
      <w:r w:rsidR="00362F6E"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Правообладателем</w:t>
      </w:r>
      <w:r w:rsid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предварительного договора купли-</w:t>
      </w:r>
      <w:r w:rsidR="00362F6E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Земельного участка, д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купли-продажи Земельного участка</w:t>
      </w:r>
      <w:r w:rsidR="00362F6E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договора передачи прав и обязанностей по договору аренды или иной сделки. 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бронирования в отношении выбранного Клиентом Земельного участка не могут быть заключены договоры бронирования, договоры предварительной купли-продажи, договоры купли-продажи и иные сделки с иным лицом, нежели сам Клиент.</w:t>
      </w:r>
    </w:p>
    <w:p w:rsidR="001B146B" w:rsidRPr="00275D37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Клиент уведомлен о том, что сведения о Земельном участке на момент заключения Договора могут отсутствовать в Едином государственном реестре недвижимости; в таком случае Земельный участок будет образован и права Правообладателя на него будут зарегистрированы после заключения между Клиентом и Правообладателем предварительного договора купли-продажи будущей недвижимой вещи.</w:t>
      </w:r>
    </w:p>
    <w:p w:rsidR="001B146B" w:rsidRPr="00275D37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362F6E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исключительно указанную в Договоре услугу, в состав которой не входит консультирование Клиента обо всех характеристиках Земельного участка, градостроительных ограничениях, иной правовой информации в отношении Земельного участка; указанную информацию Клиент получает самостоятельно на интернет сайте </w:t>
      </w:r>
      <w:hyperlink r:id="rId7" w:history="1">
        <w:r w:rsidR="0084006D" w:rsidRPr="00275D3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https://ibogatyr.ru</w:t>
        </w:r>
      </w:hyperlink>
      <w:hyperlink r:id="rId8" w:history="1"/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телефону</w:t>
      </w:r>
      <w:r w:rsid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225-25-00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путем личного посещения офиса по адресу: </w:t>
      </w:r>
      <w:r w:rsidR="0084006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Татарстан, г. Казань, ул. Большая Красная, д.15/9.</w:t>
      </w:r>
    </w:p>
    <w:p w:rsidR="00F94F49" w:rsidRPr="00275D37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Заключая Договор, Клиент подтверждает, что получил всю необходимую и достаточную для него информацию, необходимую для выбора Земельного участка для бронирования, в том числе ознакомился со всей информацией о предлагаемых Земельных участках, включая информацию о местоположении, площади, категории, виде разрешенного использования Земельного участка, иных характеристиках Земельного участка, имеющих значение для Клиента.</w:t>
      </w:r>
    </w:p>
    <w:p w:rsidR="001B146B" w:rsidRPr="00104BA0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97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бронирование является оплатой услуг </w:t>
      </w:r>
      <w:r w:rsidR="0084006D" w:rsidRPr="00973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7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бронированию Земельного участка и </w:t>
      </w:r>
      <w:r w:rsidR="00F94F49" w:rsidRPr="0097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полном объеме в стоимость Земельного участка в случае заключения Клиентом с </w:t>
      </w:r>
      <w:r w:rsidR="00F94F49" w:rsidRPr="00104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в течение срока бронирования предварительного или основного договора купли-продажи земельного участка, договора передачи прав и обязанностей по договору аренды либо иной сделки, связанной с Земельным участком.</w:t>
      </w:r>
      <w:r w:rsidR="00973ABF" w:rsidRPr="0010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течении срока бронирования договор заключен не был, плата является невозвратной.</w:t>
      </w:r>
    </w:p>
    <w:p w:rsidR="001B146B" w:rsidRPr="00104BA0" w:rsidRDefault="001B146B" w:rsidP="00275D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46B" w:rsidRPr="00104BA0" w:rsidRDefault="001B146B" w:rsidP="00275D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Общие положения</w:t>
      </w:r>
    </w:p>
    <w:p w:rsidR="0084006D" w:rsidRPr="00104BA0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Договор между сторонами заключается путем акцепта Клиентом оферты. </w:t>
      </w:r>
    </w:p>
    <w:p w:rsidR="00F94F49" w:rsidRPr="00104BA0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Акцептом оферты является внесение Клиентом платы за бронирование в соответствии с пункт</w:t>
      </w:r>
      <w:r w:rsidR="0084006D" w:rsidRP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="00F94F49" w:rsidRP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оферты, которое рассматриваются как полное и безусловное согласие с условиями оферты. Акцептом условий настоящей оферты Клиент безоговорочно соглашается с условиями настоящей оферты о бронировании земельного участка.</w:t>
      </w:r>
    </w:p>
    <w:p w:rsidR="00F94F49" w:rsidRPr="00104BA0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10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4F49" w:rsidRPr="0010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вправе забронировать один и тот же земельный участок только один раз. Клиент вправе забронировать </w:t>
      </w:r>
      <w:r w:rsidR="00973ABF" w:rsidRPr="0010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количество участков, оплата брони совершается по каждому выбранному участку. При выкупе одного или нескольких участков из выбранных на сайте, плата за остальные считается невозвратной. </w:t>
      </w:r>
    </w:p>
    <w:p w:rsidR="00362F6E" w:rsidRPr="00275D37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 заключении Клиентом предварительного </w:t>
      </w:r>
      <w:r w:rsidR="0084006D" w:rsidRP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договора купли-продажи земельного участка</w:t>
      </w:r>
      <w:r w:rsidR="0084006D" w:rsidRP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договора передачи прав и обязанностей</w:t>
      </w:r>
      <w:r w:rsidR="0084006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договору аренды либо иной сделки с Правообладателем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истечении срока бронирования, условия настоящего оферты для такого Клиента в отношении ранее бронированного </w:t>
      </w:r>
      <w:r w:rsidR="00F94F49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емельного участка недействительны и не могут быть акцептованы Клиентом. В случае внесения Клиентом платы за бронирование в отношении земельного участка, в отношении которого условия настоящей оферты для данного Клиента недействительны, бронирование земельного участка не осуществляется, а денежные средства возврату не подлежат.</w:t>
      </w:r>
    </w:p>
    <w:p w:rsidR="001B146B" w:rsidRPr="00275D37" w:rsidRDefault="001B146B" w:rsidP="00275D37">
      <w:pPr>
        <w:spacing w:after="0" w:line="276" w:lineRule="auto"/>
        <w:ind w:left="3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Плата за бронирование</w:t>
      </w:r>
    </w:p>
    <w:p w:rsidR="001B146B" w:rsidRPr="00275D37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 бронирование Земельного участка Клиент уплачивает </w:t>
      </w:r>
      <w:r w:rsidR="0084006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Обществу 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плату </w:t>
      </w:r>
      <w:r w:rsidR="0084006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</w:t>
      </w:r>
      <w:r w:rsid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84006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00 копеек.</w:t>
      </w:r>
    </w:p>
    <w:p w:rsidR="00F94F49" w:rsidRPr="00275D37" w:rsidRDefault="00F94F49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не поступления платы за бронирование </w:t>
      </w:r>
      <w:r w:rsidRPr="0097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bookmarkStart w:id="0" w:name="_GoBack"/>
      <w:bookmarkEnd w:id="0"/>
      <w:r w:rsidR="00973ABF">
        <w:rPr>
          <w:rFonts w:ascii="Times New Roman" w:eastAsia="Times New Roman" w:hAnsi="Times New Roman" w:cs="Times New Roman"/>
          <w:sz w:val="24"/>
          <w:szCs w:val="24"/>
          <w:lang w:eastAsia="ru-RU"/>
        </w:rPr>
        <w:t>1 дня</w:t>
      </w:r>
      <w:r w:rsidRPr="0027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присоединения Клиента к настоящим условиям, договор бронирования считается незаключенным.</w:t>
      </w:r>
    </w:p>
    <w:p w:rsidR="001B146B" w:rsidRPr="00275D37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94F49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отказа Клиента в течение срока бронирования от подписания </w:t>
      </w:r>
      <w:r w:rsidR="0084006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Правообладателем </w:t>
      </w:r>
      <w:r w:rsidR="0084006D"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предварительного </w:t>
      </w:r>
      <w:r w:rsidR="0084006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4006D"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договора купли-продажи земельного участка</w:t>
      </w:r>
      <w:r w:rsidR="0084006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договора передачи прав и обязанностей по договору аренды либо иной сделки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уклонения от его подписания по любым другим причинам, плата за бронирование Клиенту не возвращается, проценты на сумму оплаты (включая ст. 317.1, 395 ГК РФ) не начисляются.</w:t>
      </w:r>
    </w:p>
    <w:p w:rsidR="001B146B" w:rsidRPr="00275D37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94F49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Клиент вносит</w:t>
      </w:r>
      <w:r w:rsidR="0084006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плату за бронирование участка, указанную в п.4.1. настоящей офер</w:t>
      </w:r>
      <w:r w:rsidR="00F94F49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счет </w:t>
      </w:r>
      <w:r w:rsidR="0084006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сервиса «</w:t>
      </w:r>
      <w:proofErr w:type="spellStart"/>
      <w:r w:rsidRP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Яндекс.Касса</w:t>
      </w:r>
      <w:proofErr w:type="spellEnd"/>
      <w:r w:rsidRP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сети Интернет на сайте </w:t>
      </w:r>
      <w:hyperlink r:id="rId9" w:history="1"/>
      <w:hyperlink r:id="rId10" w:history="1">
        <w:r w:rsidR="0084006D" w:rsidRPr="00973A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https://ibogatyr.ru</w:t>
        </w:r>
      </w:hyperlink>
      <w:r w:rsidRP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06D" w:rsidRPr="00275D37" w:rsidRDefault="0084006D" w:rsidP="00275D3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146B" w:rsidRPr="00275D37" w:rsidRDefault="001B146B" w:rsidP="00275D37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 бронирования</w:t>
      </w:r>
    </w:p>
    <w:p w:rsidR="001B146B" w:rsidRPr="00275D37" w:rsidRDefault="0084006D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5.1. </w:t>
      </w:r>
      <w:r w:rsidR="001B146B"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бронирования </w:t>
      </w:r>
      <w:r w:rsidR="001B146B" w:rsidRP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73ABF" w:rsidRP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 w:rsidRP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</w:t>
      </w:r>
      <w:r w:rsid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="001B146B" w:rsidRP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</w:t>
      </w:r>
      <w:r w:rsid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заключения настоящего договора</w:t>
      </w:r>
      <w:r w:rsidR="001B146B" w:rsidRP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окончания указанного срока</w:t>
      </w:r>
      <w:r w:rsidR="001B146B"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 обязуется заключить </w:t>
      </w:r>
      <w:r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Право</w:t>
      </w:r>
      <w:r w:rsidR="0077345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обладателем Земельного участка 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</w:t>
      </w:r>
      <w:r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ыйили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</w:t>
      </w:r>
      <w:r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купли-продажи земельного участка</w:t>
      </w:r>
      <w:r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договора передачи прав и обязанностей по договору аренды либо иную сделку.</w:t>
      </w:r>
    </w:p>
    <w:p w:rsidR="00275D37" w:rsidRDefault="00275D37" w:rsidP="00275D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146B" w:rsidRPr="00275D37" w:rsidRDefault="001B146B" w:rsidP="00275D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1B146B" w:rsidRPr="00275D37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84006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гарантирует, что Правообладатель земельного участка в течение срока бронирования Земельного участка не продаст Земельный участок, не заключит в отношении него  договор купли-продажи, не сдаст его в аренду, не передаст в залог или иным способом не распорядится им.</w:t>
      </w:r>
    </w:p>
    <w:p w:rsidR="001B146B" w:rsidRPr="00275D37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Клиент, заключивший настоящий договор, подтверждает, что он не ограничен в дееспособности, под опекой, попечительством и патронажем не состоит, по состоянию здоровья может самостоятельно осуществлять свои права и исполнять обязанности, не страдает заболеваниями, препятствующими осознавать суть заключаемого договора и обстоятельства его заключения, что у него отсутствуют обстоятельства, вынуждающие его заключить данный договор на крайне невыгодных для него условиях, договор не заключается под влиянием стечения тяжелых для сторон обстоятельств, и настоящий договор не является для него кабальной сделкой.</w:t>
      </w:r>
    </w:p>
    <w:p w:rsidR="001B146B" w:rsidRPr="00275D37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77345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77345D"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редварительн</w:t>
      </w:r>
      <w:r w:rsidR="0077345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45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7345D"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</w:t>
      </w:r>
      <w:r w:rsidR="0077345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7345D"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купли-продажи земельного участка</w:t>
      </w:r>
      <w:r w:rsidR="0077345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договора передачи прав и обязанностей по договору аренды либо иная сделка, связанная с Земельным участком 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течение </w:t>
      </w:r>
      <w:r w:rsid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0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97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с момента заключения настоящего договора по адресу: </w:t>
      </w:r>
      <w:r w:rsidR="0077345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Татарстан, г. Казань, ул. Большая Красная, д.15/9.</w:t>
      </w:r>
    </w:p>
    <w:p w:rsidR="001B146B" w:rsidRPr="00275D37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77345D" w:rsidRPr="0027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Клиент не подписывают Акт приемки оказанных услуг. Оплата подтверждает качество услуг.</w:t>
      </w:r>
    </w:p>
    <w:p w:rsidR="001B146B" w:rsidRPr="00275D37" w:rsidRDefault="001B146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Настоящий договор вступает в силу с момента его заключения путем акцепта оферты и действует до окончания срока бронирования. По окончании действия договора все обязательства по нему прекращаются.</w:t>
      </w:r>
    </w:p>
    <w:p w:rsidR="00275D37" w:rsidRPr="00275D37" w:rsidRDefault="00275D37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D37" w:rsidRDefault="00275D37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Реквизиты Общества:</w:t>
      </w:r>
    </w:p>
    <w:p w:rsidR="00A2729B" w:rsidRDefault="00A2729B" w:rsidP="00275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«Богатырь»</w:t>
      </w:r>
    </w:p>
    <w:p w:rsidR="00A2729B" w:rsidRPr="00A2729B" w:rsidRDefault="00A2729B" w:rsidP="00A272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ИНН/КПП 1655417140/165501001                                                     </w:t>
      </w:r>
    </w:p>
    <w:p w:rsidR="00A2729B" w:rsidRPr="00A2729B" w:rsidRDefault="00A2729B" w:rsidP="00A272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420111, РТ, г.Казань, ул.Б.Красная, </w:t>
      </w:r>
    </w:p>
    <w:p w:rsidR="00A2729B" w:rsidRPr="00A2729B" w:rsidRDefault="00A2729B" w:rsidP="00A272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д.15/9, оф.2-3</w:t>
      </w:r>
    </w:p>
    <w:p w:rsidR="00A2729B" w:rsidRPr="00A2729B" w:rsidRDefault="00A2729B" w:rsidP="00A272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40702810162000051758</w:t>
      </w:r>
    </w:p>
    <w:p w:rsidR="00A2729B" w:rsidRPr="00A2729B" w:rsidRDefault="00A2729B" w:rsidP="00A272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к/с 30101810600000000603                                               </w:t>
      </w:r>
    </w:p>
    <w:p w:rsidR="00A2729B" w:rsidRPr="00A2729B" w:rsidRDefault="00A2729B" w:rsidP="00A272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«БАНК ТАТАРСТАН» №8610 ПАО СБЕРБАНК</w:t>
      </w:r>
    </w:p>
    <w:p w:rsidR="00A2729B" w:rsidRPr="00A2729B" w:rsidRDefault="00A2729B" w:rsidP="00A272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049205603</w:t>
      </w:r>
    </w:p>
    <w:sectPr w:rsidR="00A2729B" w:rsidRPr="00A2729B" w:rsidSect="001B146B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EA58FD" w15:done="0"/>
  <w15:commentEx w15:paraId="44649F8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Ginga&gt;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3DBD"/>
    <w:multiLevelType w:val="multilevel"/>
    <w:tmpl w:val="9D46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E524B"/>
    <w:multiLevelType w:val="multilevel"/>
    <w:tmpl w:val="A806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и">
    <w15:presenceInfo w15:providerId="None" w15:userId="натали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416C"/>
    <w:rsid w:val="00104BA0"/>
    <w:rsid w:val="001B146B"/>
    <w:rsid w:val="002270F8"/>
    <w:rsid w:val="00275D37"/>
    <w:rsid w:val="0031416C"/>
    <w:rsid w:val="00362F6E"/>
    <w:rsid w:val="0077345D"/>
    <w:rsid w:val="0084006D"/>
    <w:rsid w:val="00973ABF"/>
    <w:rsid w:val="00A2729B"/>
    <w:rsid w:val="00BA6976"/>
    <w:rsid w:val="00C67E4A"/>
    <w:rsid w:val="00EF7142"/>
    <w:rsid w:val="00F9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2F6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2F6E"/>
    <w:rPr>
      <w:color w:val="954F72" w:themeColor="followedHyperlink"/>
      <w:u w:val="single"/>
    </w:rPr>
  </w:style>
  <w:style w:type="character" w:customStyle="1" w:styleId="copytarget">
    <w:name w:val="copy_target"/>
    <w:basedOn w:val="a0"/>
    <w:rsid w:val="00362F6E"/>
  </w:style>
  <w:style w:type="character" w:styleId="a6">
    <w:name w:val="annotation reference"/>
    <w:basedOn w:val="a0"/>
    <w:uiPriority w:val="99"/>
    <w:semiHidden/>
    <w:unhideWhenUsed/>
    <w:rsid w:val="00F94F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4F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4F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4F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4F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83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.ltd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ibogaty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.lt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bogatyr.ru" TargetMode="External"/><Relationship Id="rId10" Type="http://schemas.openxmlformats.org/officeDocument/2006/relationships/hyperlink" Target="https://ibogaty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a.ltd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ipkrasnova</cp:lastModifiedBy>
  <cp:revision>3</cp:revision>
  <cp:lastPrinted>2020-10-06T06:40:00Z</cp:lastPrinted>
  <dcterms:created xsi:type="dcterms:W3CDTF">2020-10-05T13:49:00Z</dcterms:created>
  <dcterms:modified xsi:type="dcterms:W3CDTF">2020-10-07T07:46:00Z</dcterms:modified>
</cp:coreProperties>
</file>